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2E29" w14:textId="287F9D36" w:rsidR="00042C02" w:rsidRDefault="00042C02" w:rsidP="00B7264A">
      <w:pPr>
        <w:pStyle w:val="2"/>
        <w:spacing w:before="120" w:after="120"/>
        <w:jc w:val="center"/>
      </w:pPr>
      <w:r w:rsidRPr="00042C02">
        <w:t>Анализ и направления совершенствования систем электропривода котлоагрегатов в условиях Новокемеровской ТЭЦ</w:t>
      </w:r>
    </w:p>
    <w:p w14:paraId="79C34F23" w14:textId="77777777" w:rsidR="00B7264A" w:rsidRDefault="00042C02" w:rsidP="00042C02">
      <w:pPr>
        <w:jc w:val="both"/>
      </w:pPr>
      <w:r>
        <w:t xml:space="preserve">В настоящее время на Новокемеровской ТЭЦ для получения пара высокого давления используются котельные агрегаты типа ТП-87 с естественной циркуляцией. </w:t>
      </w:r>
    </w:p>
    <w:p w14:paraId="243AC474" w14:textId="3A82FFC2" w:rsidR="00B7264A" w:rsidRPr="00B7264A" w:rsidRDefault="00042C02" w:rsidP="00042C02">
      <w:pPr>
        <w:jc w:val="both"/>
        <w:rPr>
          <w:b/>
          <w:bCs/>
        </w:rPr>
      </w:pPr>
      <w:r w:rsidRPr="00B7264A">
        <w:rPr>
          <w:b/>
          <w:bCs/>
        </w:rPr>
        <w:t>Однако топливо и энергия, потребляемые котлоагрегатами, расходуются не оптимально, что связано</w:t>
      </w:r>
      <w:r w:rsidR="00B7264A" w:rsidRPr="00B7264A">
        <w:rPr>
          <w:b/>
          <w:bCs/>
        </w:rPr>
        <w:t>:</w:t>
      </w:r>
    </w:p>
    <w:p w14:paraId="767E647A" w14:textId="77777777" w:rsidR="00B7264A" w:rsidRDefault="00B7264A" w:rsidP="00B7264A">
      <w:pPr>
        <w:pStyle w:val="a3"/>
        <w:numPr>
          <w:ilvl w:val="0"/>
          <w:numId w:val="7"/>
        </w:numPr>
        <w:jc w:val="both"/>
      </w:pPr>
      <w:r>
        <w:t>С</w:t>
      </w:r>
      <w:r w:rsidR="00042C02">
        <w:t>о сложностью эффективного управления технологическими процессами из-за значительных колебаний тепловой нагрузки</w:t>
      </w:r>
      <w:r>
        <w:t>.</w:t>
      </w:r>
    </w:p>
    <w:p w14:paraId="14DEE3C3" w14:textId="736A17D2" w:rsidR="00B7264A" w:rsidRDefault="00B7264A" w:rsidP="00B7264A">
      <w:pPr>
        <w:pStyle w:val="a3"/>
        <w:numPr>
          <w:ilvl w:val="0"/>
          <w:numId w:val="7"/>
        </w:numPr>
        <w:jc w:val="both"/>
      </w:pPr>
      <w:r>
        <w:t xml:space="preserve">Со сложностью </w:t>
      </w:r>
      <w:r w:rsidR="00042C02">
        <w:t>регулирования потоков воздуха и дымовых газов путем дросселирования - изменением положения заслонок направляющих аппаратов дутьевых вентиляторов и дымососов</w:t>
      </w:r>
      <w:r>
        <w:t>.</w:t>
      </w:r>
    </w:p>
    <w:p w14:paraId="19F78DEC" w14:textId="401612A5" w:rsidR="00B7264A" w:rsidRDefault="00B7264A" w:rsidP="00B7264A">
      <w:pPr>
        <w:pStyle w:val="a3"/>
        <w:numPr>
          <w:ilvl w:val="0"/>
          <w:numId w:val="7"/>
        </w:numPr>
        <w:jc w:val="both"/>
      </w:pPr>
      <w:r>
        <w:t xml:space="preserve">Со </w:t>
      </w:r>
      <w:r w:rsidR="00042C02">
        <w:t>сжигания топлива с большим избытком воздуха</w:t>
      </w:r>
      <w:r>
        <w:t>.</w:t>
      </w:r>
    </w:p>
    <w:p w14:paraId="1EF7BF51" w14:textId="4BD1D005" w:rsidR="00042C02" w:rsidRDefault="00B7264A" w:rsidP="00B7264A">
      <w:pPr>
        <w:pStyle w:val="a3"/>
        <w:numPr>
          <w:ilvl w:val="0"/>
          <w:numId w:val="7"/>
        </w:numPr>
        <w:jc w:val="both"/>
      </w:pPr>
      <w:r>
        <w:t xml:space="preserve">С </w:t>
      </w:r>
      <w:r w:rsidR="00042C02">
        <w:t>отсутстви</w:t>
      </w:r>
      <w:r>
        <w:t>ем</w:t>
      </w:r>
      <w:r w:rsidR="00042C02">
        <w:t xml:space="preserve"> автоматической коррекции режима работы котлоагрегата.</w:t>
      </w:r>
    </w:p>
    <w:p w14:paraId="758B61DF" w14:textId="77777777" w:rsidR="00B7264A" w:rsidRDefault="00042C02" w:rsidP="00042C02">
      <w:pPr>
        <w:jc w:val="both"/>
      </w:pPr>
      <w:r>
        <w:t xml:space="preserve">Проблема энергосбережения и энергетической эффективности котлоагрегатов в настоящее время является актуальной. </w:t>
      </w:r>
    </w:p>
    <w:p w14:paraId="1B5BD636" w14:textId="01ABDA86" w:rsidR="00285DC7" w:rsidRDefault="00285DC7" w:rsidP="00285DC7">
      <w:pPr>
        <w:pStyle w:val="3"/>
        <w:spacing w:before="120" w:after="120"/>
        <w:jc w:val="center"/>
      </w:pPr>
      <w:r>
        <w:t xml:space="preserve">Основные позиции оборудования ТЭЦ для осуществления </w:t>
      </w:r>
      <w:r w:rsidRPr="00B7264A">
        <w:t>энергосбережения</w:t>
      </w:r>
    </w:p>
    <w:p w14:paraId="4200F670" w14:textId="1D8F3E75" w:rsidR="00B7264A" w:rsidRPr="00B7264A" w:rsidRDefault="00042C02" w:rsidP="00042C02">
      <w:pPr>
        <w:jc w:val="both"/>
        <w:rPr>
          <w:b/>
          <w:bCs/>
        </w:rPr>
      </w:pPr>
      <w:r w:rsidRPr="00B7264A">
        <w:rPr>
          <w:b/>
          <w:bCs/>
        </w:rPr>
        <w:t>Наибольший практический интерес с позиции энергосбережения представляет совершенствование</w:t>
      </w:r>
      <w:r w:rsidR="00B7264A" w:rsidRPr="00B7264A">
        <w:rPr>
          <w:b/>
          <w:bCs/>
        </w:rPr>
        <w:t>:</w:t>
      </w:r>
    </w:p>
    <w:p w14:paraId="732F336A" w14:textId="77777777" w:rsidR="00B7264A" w:rsidRDefault="00B7264A" w:rsidP="00B7264A">
      <w:pPr>
        <w:pStyle w:val="a3"/>
        <w:numPr>
          <w:ilvl w:val="0"/>
          <w:numId w:val="8"/>
        </w:numPr>
        <w:jc w:val="both"/>
      </w:pPr>
      <w:r>
        <w:t>Э</w:t>
      </w:r>
      <w:r w:rsidR="00042C02">
        <w:t>лектроприводов дымососов</w:t>
      </w:r>
      <w:r>
        <w:t>.</w:t>
      </w:r>
    </w:p>
    <w:p w14:paraId="7F8B885E" w14:textId="77777777" w:rsidR="00B7264A" w:rsidRDefault="00B7264A" w:rsidP="00B7264A">
      <w:pPr>
        <w:pStyle w:val="a3"/>
        <w:numPr>
          <w:ilvl w:val="0"/>
          <w:numId w:val="8"/>
        </w:numPr>
        <w:jc w:val="both"/>
      </w:pPr>
      <w:r>
        <w:t>Д</w:t>
      </w:r>
      <w:r w:rsidR="00042C02">
        <w:t>утьевых вентиляторов</w:t>
      </w:r>
      <w:r>
        <w:t>.</w:t>
      </w:r>
    </w:p>
    <w:p w14:paraId="3DE0C954" w14:textId="77777777" w:rsidR="00B7264A" w:rsidRDefault="00B7264A" w:rsidP="00B7264A">
      <w:pPr>
        <w:pStyle w:val="a3"/>
        <w:numPr>
          <w:ilvl w:val="0"/>
          <w:numId w:val="8"/>
        </w:numPr>
        <w:jc w:val="both"/>
      </w:pPr>
      <w:r>
        <w:t>М</w:t>
      </w:r>
      <w:r w:rsidR="00042C02">
        <w:t>ельничных вентиляторов</w:t>
      </w:r>
      <w:r>
        <w:t>.</w:t>
      </w:r>
    </w:p>
    <w:p w14:paraId="217353E7" w14:textId="28AAF446" w:rsidR="00042C02" w:rsidRDefault="00B7264A" w:rsidP="00B7264A">
      <w:pPr>
        <w:pStyle w:val="a3"/>
        <w:numPr>
          <w:ilvl w:val="0"/>
          <w:numId w:val="8"/>
        </w:numPr>
        <w:jc w:val="both"/>
      </w:pPr>
      <w:r>
        <w:t>П</w:t>
      </w:r>
      <w:r w:rsidR="00042C02">
        <w:t>итателей пыли.</w:t>
      </w:r>
    </w:p>
    <w:p w14:paraId="14E3AD88" w14:textId="5BBA850E" w:rsidR="00285DC7" w:rsidRPr="00285DC7" w:rsidRDefault="00285DC7" w:rsidP="00042C02">
      <w:pPr>
        <w:jc w:val="both"/>
        <w:rPr>
          <w:b/>
          <w:bCs/>
        </w:rPr>
      </w:pPr>
      <w:r w:rsidRPr="00285DC7">
        <w:rPr>
          <w:b/>
          <w:bCs/>
        </w:rPr>
        <w:t>В свою очередь</w:t>
      </w:r>
      <w:r>
        <w:rPr>
          <w:b/>
          <w:bCs/>
        </w:rPr>
        <w:t>,</w:t>
      </w:r>
      <w:r w:rsidRPr="00285DC7">
        <w:rPr>
          <w:b/>
          <w:bCs/>
        </w:rPr>
        <w:t xml:space="preserve"> основное оборудование ТЭЦ от которого зависит технология, </w:t>
      </w:r>
      <w:r>
        <w:rPr>
          <w:b/>
          <w:bCs/>
        </w:rPr>
        <w:t>регулируется следующим образом</w:t>
      </w:r>
      <w:r w:rsidRPr="00285DC7">
        <w:rPr>
          <w:b/>
          <w:bCs/>
        </w:rPr>
        <w:t>:</w:t>
      </w:r>
    </w:p>
    <w:p w14:paraId="1E687BEC" w14:textId="1E8FFCD8" w:rsidR="00B7264A" w:rsidRDefault="00B7264A" w:rsidP="00285DC7">
      <w:pPr>
        <w:pStyle w:val="a3"/>
        <w:numPr>
          <w:ilvl w:val="0"/>
          <w:numId w:val="9"/>
        </w:numPr>
        <w:jc w:val="both"/>
      </w:pPr>
      <w:r>
        <w:t>Н</w:t>
      </w:r>
      <w:r w:rsidR="00042C02">
        <w:t xml:space="preserve">а дымососах и дутьевых вентиляторах установлены асинхронные двухскоростные электродвигатели, изменение частоты вращения вала которых происходит путем переключения обмоток двигателя. </w:t>
      </w:r>
    </w:p>
    <w:p w14:paraId="606697B6" w14:textId="0316D7FB" w:rsidR="00042C02" w:rsidRDefault="00042C02" w:rsidP="00285DC7">
      <w:pPr>
        <w:pStyle w:val="a3"/>
        <w:numPr>
          <w:ilvl w:val="0"/>
          <w:numId w:val="9"/>
        </w:numPr>
        <w:jc w:val="both"/>
      </w:pPr>
      <w:r>
        <w:t>В комплекте с котлоагрегатом ТП-87 используются шаровые барабанные мельницы, предназначенные для размола каменных и бурых углей, сланцев до пылевидного состояния. Разрежение перед мельницей создается мельничными вентиляторами консольного типа. На ник установлены асинхронные электродвигатели, работающие на постоянной скорости.</w:t>
      </w:r>
    </w:p>
    <w:p w14:paraId="6713B2D7" w14:textId="77777777" w:rsidR="00B7264A" w:rsidRDefault="00042C02" w:rsidP="00285DC7">
      <w:pPr>
        <w:pStyle w:val="a3"/>
        <w:numPr>
          <w:ilvl w:val="0"/>
          <w:numId w:val="9"/>
        </w:numPr>
        <w:jc w:val="both"/>
      </w:pPr>
      <w:r>
        <w:t xml:space="preserve">Котлоагрегат оборудован </w:t>
      </w:r>
      <w:proofErr w:type="spellStart"/>
      <w:r>
        <w:t>пылепитателями</w:t>
      </w:r>
      <w:proofErr w:type="spellEnd"/>
      <w:r>
        <w:t xml:space="preserve"> типа ППЛ, предназначенными для подачи пыли в горелку, и шнековыми питателями сырого угля (ШПСУ), обеспечивающими подачу угля. </w:t>
      </w:r>
    </w:p>
    <w:p w14:paraId="3F82055A" w14:textId="77777777" w:rsidR="00285DC7" w:rsidRDefault="00042C02" w:rsidP="00042C02">
      <w:pPr>
        <w:jc w:val="both"/>
      </w:pPr>
      <w:r>
        <w:t xml:space="preserve">Изменение скорости вращении двигателей постоянного тока на питателях сырого угля питателях пыли происходил за счет регулирования величины напряжения на якоре двигателей с помощью тиристорного регулятора. </w:t>
      </w:r>
    </w:p>
    <w:p w14:paraId="4BE102D0" w14:textId="5BDF500F" w:rsidR="00042C02" w:rsidRPr="00285DC7" w:rsidRDefault="00042C02" w:rsidP="00042C02">
      <w:pPr>
        <w:jc w:val="both"/>
        <w:rPr>
          <w:b/>
          <w:bCs/>
        </w:rPr>
      </w:pPr>
      <w:r w:rsidRPr="00285DC7">
        <w:rPr>
          <w:b/>
          <w:bCs/>
        </w:rPr>
        <w:t>Технические характеристики электродвигателей механизмов котлоагрегата ТП- 87 представлены в таблице</w:t>
      </w:r>
      <w:r w:rsidR="00285DC7" w:rsidRPr="00285DC7">
        <w:rPr>
          <w:b/>
          <w:bCs/>
        </w:rPr>
        <w:t xml:space="preserve"> 1:</w:t>
      </w:r>
    </w:p>
    <w:p w14:paraId="5CDFE76E" w14:textId="03F9B78E" w:rsidR="000966A6" w:rsidRDefault="000966A6" w:rsidP="000966A6">
      <w:pPr>
        <w:jc w:val="center"/>
      </w:pPr>
      <w:r>
        <w:rPr>
          <w:noProof/>
        </w:rPr>
        <w:drawing>
          <wp:inline distT="0" distB="0" distL="0" distR="0" wp14:anchorId="4AC2B4A8" wp14:editId="12E81B43">
            <wp:extent cx="5514975" cy="1122439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59" cy="11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637B" w14:textId="5FA6D6EC" w:rsidR="000966A6" w:rsidRPr="000966A6" w:rsidRDefault="000966A6" w:rsidP="000966A6">
      <w:pPr>
        <w:jc w:val="center"/>
        <w:rPr>
          <w:rFonts w:cstheme="minorHAnsi"/>
        </w:rPr>
      </w:pPr>
      <w:r w:rsidRPr="000966A6">
        <w:rPr>
          <w:rFonts w:cstheme="minorHAnsi"/>
          <w:color w:val="000000"/>
        </w:rPr>
        <w:t xml:space="preserve">Таблица </w:t>
      </w:r>
      <w:r w:rsidR="00285DC7">
        <w:rPr>
          <w:rFonts w:cstheme="minorHAnsi"/>
          <w:color w:val="000000"/>
        </w:rPr>
        <w:t xml:space="preserve">1 </w:t>
      </w:r>
      <w:r w:rsidRPr="000966A6">
        <w:rPr>
          <w:rFonts w:cstheme="minorHAnsi"/>
          <w:color w:val="000000"/>
        </w:rPr>
        <w:t>– Номинальные технические характеристики электродвигателей</w:t>
      </w:r>
    </w:p>
    <w:p w14:paraId="1738D7BF" w14:textId="77777777" w:rsidR="00285DC7" w:rsidRDefault="00042C02" w:rsidP="00042C02">
      <w:pPr>
        <w:jc w:val="both"/>
      </w:pPr>
      <w:r>
        <w:t xml:space="preserve">В настоящее время на котлоагрегатах Новокемеровской ТЭЦ регулирование производительности тягодутьевых машин осуществляется при помощи дросселирования. </w:t>
      </w:r>
    </w:p>
    <w:p w14:paraId="53D53939" w14:textId="78AE0B5B" w:rsidR="005F5C70" w:rsidRPr="00285DC7" w:rsidRDefault="00042C02" w:rsidP="00042C02">
      <w:pPr>
        <w:jc w:val="both"/>
        <w:rPr>
          <w:b/>
          <w:bCs/>
        </w:rPr>
      </w:pPr>
      <w:r w:rsidRPr="00285DC7">
        <w:rPr>
          <w:b/>
          <w:bCs/>
        </w:rPr>
        <w:lastRenderedPageBreak/>
        <w:t>В этом случае изменение производительности осуществляется изменением характеристики сети (рис</w:t>
      </w:r>
      <w:r w:rsidR="00285DC7" w:rsidRPr="00285DC7">
        <w:rPr>
          <w:b/>
          <w:bCs/>
        </w:rPr>
        <w:t>унок</w:t>
      </w:r>
      <w:r w:rsidRPr="00285DC7">
        <w:rPr>
          <w:b/>
          <w:bCs/>
        </w:rPr>
        <w:t xml:space="preserve"> 1)</w:t>
      </w:r>
      <w:r w:rsidR="00285DC7" w:rsidRPr="00285DC7">
        <w:rPr>
          <w:b/>
          <w:bCs/>
        </w:rPr>
        <w:t>:</w:t>
      </w:r>
    </w:p>
    <w:p w14:paraId="659C663E" w14:textId="3C28DB24" w:rsidR="005F5C70" w:rsidRDefault="005F5C70" w:rsidP="005F5C70">
      <w:pPr>
        <w:jc w:val="center"/>
      </w:pPr>
      <w:r>
        <w:rPr>
          <w:noProof/>
        </w:rPr>
        <w:drawing>
          <wp:inline distT="0" distB="0" distL="0" distR="0" wp14:anchorId="409490E0" wp14:editId="6885A5BE">
            <wp:extent cx="3733800" cy="239730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10" cy="24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D530" w14:textId="28EE34FC" w:rsidR="005F5C70" w:rsidRDefault="005F5C70" w:rsidP="005F5C70">
      <w:pPr>
        <w:jc w:val="center"/>
      </w:pPr>
      <w:r w:rsidRPr="005F5C70">
        <w:t>Рис</w:t>
      </w:r>
      <w:r w:rsidR="00285DC7">
        <w:t>унок</w:t>
      </w:r>
      <w:r w:rsidRPr="005F5C70">
        <w:t xml:space="preserve"> 1</w:t>
      </w:r>
      <w:r>
        <w:t xml:space="preserve"> –</w:t>
      </w:r>
      <w:r w:rsidRPr="005F5C70">
        <w:t xml:space="preserve"> Характеристики машины и сети при регулировании производительности дросселированием</w:t>
      </w:r>
    </w:p>
    <w:p w14:paraId="4AC489CF" w14:textId="77777777" w:rsidR="00285DC7" w:rsidRDefault="00042C02" w:rsidP="00042C02">
      <w:pPr>
        <w:jc w:val="both"/>
      </w:pPr>
      <w:r>
        <w:t xml:space="preserve">Очевидно, что при таком способе регулировании имеют место большие потери напора [1]. </w:t>
      </w:r>
    </w:p>
    <w:p w14:paraId="35C58405" w14:textId="77792A18" w:rsidR="00042C02" w:rsidRPr="00285DC7" w:rsidRDefault="00042C02" w:rsidP="00042C02">
      <w:pPr>
        <w:jc w:val="both"/>
        <w:rPr>
          <w:b/>
          <w:bCs/>
        </w:rPr>
      </w:pPr>
      <w:r w:rsidRPr="00285DC7">
        <w:rPr>
          <w:b/>
          <w:bCs/>
        </w:rPr>
        <w:t>Минимизировать потери напора позволяет система производительности изменением частоты вращения тягодутьевой машины (рис</w:t>
      </w:r>
      <w:r w:rsidR="00285DC7" w:rsidRPr="00285DC7">
        <w:rPr>
          <w:b/>
          <w:bCs/>
        </w:rPr>
        <w:t>унок</w:t>
      </w:r>
      <w:r w:rsidRPr="00285DC7">
        <w:rPr>
          <w:b/>
          <w:bCs/>
        </w:rPr>
        <w:t xml:space="preserve"> 2)</w:t>
      </w:r>
      <w:r w:rsidR="00285DC7" w:rsidRPr="00285DC7">
        <w:rPr>
          <w:b/>
          <w:bCs/>
        </w:rPr>
        <w:t>:</w:t>
      </w:r>
    </w:p>
    <w:p w14:paraId="0CEEB1BE" w14:textId="590EDA97" w:rsidR="005F5C70" w:rsidRDefault="005F5C70" w:rsidP="005F5C70">
      <w:pPr>
        <w:jc w:val="center"/>
      </w:pPr>
      <w:r>
        <w:rPr>
          <w:noProof/>
        </w:rPr>
        <w:drawing>
          <wp:inline distT="0" distB="0" distL="0" distR="0" wp14:anchorId="1AA05638" wp14:editId="413A12AD">
            <wp:extent cx="3676650" cy="23627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49" cy="23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B1CB" w14:textId="13383934" w:rsidR="005F5C70" w:rsidRDefault="005F5C70" w:rsidP="005F5C70">
      <w:pPr>
        <w:jc w:val="center"/>
      </w:pPr>
      <w:r>
        <w:t>Рис</w:t>
      </w:r>
      <w:r w:rsidR="00285DC7">
        <w:t>унок</w:t>
      </w:r>
      <w:r>
        <w:t xml:space="preserve"> 2 – Характеристика тягодутьевой машины при частотном регулировании</w:t>
      </w:r>
    </w:p>
    <w:p w14:paraId="5D5FC20E" w14:textId="756674A0" w:rsidR="00042C02" w:rsidRPr="00285DC7" w:rsidRDefault="00042C02" w:rsidP="00042C02">
      <w:pPr>
        <w:jc w:val="both"/>
        <w:rPr>
          <w:b/>
          <w:bCs/>
        </w:rPr>
      </w:pPr>
      <w:r w:rsidRPr="00285DC7">
        <w:rPr>
          <w:b/>
          <w:bCs/>
        </w:rPr>
        <w:t>Мощность, потребляемая тягодутьевыми машинами, определяется по формуле [2]:</w:t>
      </w:r>
    </w:p>
    <w:p w14:paraId="6901C59C" w14:textId="4B3BC966" w:rsidR="00042C02" w:rsidRDefault="005F5C70" w:rsidP="00042C02">
      <w:pPr>
        <w:jc w:val="center"/>
      </w:pPr>
      <w:r>
        <w:rPr>
          <w:noProof/>
        </w:rPr>
        <w:drawing>
          <wp:inline distT="0" distB="0" distL="0" distR="0" wp14:anchorId="10375E3D" wp14:editId="030B3DE7">
            <wp:extent cx="1257300" cy="41692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33" cy="42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4E0A" w14:textId="52ADC593" w:rsidR="005F5C70" w:rsidRPr="005F5C70" w:rsidRDefault="005F5C70" w:rsidP="005F5C70">
      <w:pPr>
        <w:jc w:val="both"/>
        <w:rPr>
          <w:b/>
          <w:bCs/>
        </w:rPr>
      </w:pPr>
      <w:r w:rsidRPr="005F5C70">
        <w:rPr>
          <w:b/>
          <w:bCs/>
        </w:rPr>
        <w:t>где</w:t>
      </w:r>
    </w:p>
    <w:p w14:paraId="2455B146" w14:textId="6EF73B02" w:rsidR="005F5C70" w:rsidRDefault="005F5C70" w:rsidP="005F5C70">
      <w:pPr>
        <w:pStyle w:val="a3"/>
        <w:numPr>
          <w:ilvl w:val="0"/>
          <w:numId w:val="1"/>
        </w:numPr>
        <w:jc w:val="both"/>
      </w:pPr>
      <w:r>
        <w:t>Р – мощность</w:t>
      </w:r>
      <w:r w:rsidR="00285DC7">
        <w:t>.</w:t>
      </w:r>
    </w:p>
    <w:p w14:paraId="4936652D" w14:textId="1D9FA1A2" w:rsidR="005F5C70" w:rsidRDefault="005F5C70" w:rsidP="005F5C70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Q</w:t>
      </w:r>
      <w:r>
        <w:t xml:space="preserve"> – расход</w:t>
      </w:r>
      <w:r w:rsidR="00285DC7">
        <w:t>.</w:t>
      </w:r>
    </w:p>
    <w:p w14:paraId="0E370162" w14:textId="10087888" w:rsidR="005F5C70" w:rsidRDefault="005F5C70" w:rsidP="005F5C70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ƞ</w:t>
      </w:r>
      <w:r>
        <w:t xml:space="preserve"> - КПД тягодутьевой машины</w:t>
      </w:r>
      <w:r w:rsidR="00285DC7">
        <w:t>.</w:t>
      </w:r>
    </w:p>
    <w:p w14:paraId="18D8F74B" w14:textId="2509F084" w:rsidR="00042C02" w:rsidRPr="00285DC7" w:rsidRDefault="005F5C70" w:rsidP="005F5C70">
      <w:pPr>
        <w:jc w:val="both"/>
        <w:rPr>
          <w:b/>
          <w:bCs/>
        </w:rPr>
      </w:pPr>
      <w:r w:rsidRPr="00285DC7">
        <w:rPr>
          <w:b/>
          <w:bCs/>
        </w:rPr>
        <w:t>При регулировании с помощью дросселирования, когда скорость на валу двигателя остается постоянной, КПД определяется:</w:t>
      </w:r>
    </w:p>
    <w:p w14:paraId="095CB46D" w14:textId="6BA19752" w:rsidR="005F5C70" w:rsidRDefault="005F5C70" w:rsidP="005F5C70">
      <w:pPr>
        <w:jc w:val="center"/>
      </w:pPr>
      <w:r>
        <w:rPr>
          <w:noProof/>
        </w:rPr>
        <w:drawing>
          <wp:inline distT="0" distB="0" distL="0" distR="0" wp14:anchorId="790D0DE4" wp14:editId="6A21FBB8">
            <wp:extent cx="3438525" cy="4033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07" cy="4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D0BE1" w14:textId="496DA089" w:rsidR="005F5C70" w:rsidRPr="005F5C70" w:rsidRDefault="005F5C70" w:rsidP="005F5C70">
      <w:pPr>
        <w:jc w:val="both"/>
        <w:rPr>
          <w:b/>
          <w:bCs/>
        </w:rPr>
      </w:pPr>
      <w:r w:rsidRPr="005F5C70">
        <w:rPr>
          <w:b/>
          <w:bCs/>
        </w:rPr>
        <w:t>где</w:t>
      </w:r>
    </w:p>
    <w:p w14:paraId="5736B7C3" w14:textId="3004A11F" w:rsidR="005F5C70" w:rsidRDefault="005F5C70" w:rsidP="005F5C70">
      <w:pPr>
        <w:pStyle w:val="a3"/>
        <w:numPr>
          <w:ilvl w:val="0"/>
          <w:numId w:val="2"/>
        </w:numPr>
        <w:jc w:val="both"/>
      </w:pPr>
      <w:r>
        <w:lastRenderedPageBreak/>
        <w:t>S</w:t>
      </w:r>
      <w:r w:rsidRPr="005F5C70">
        <w:rPr>
          <w:vertAlign w:val="subscript"/>
        </w:rPr>
        <w:t>HOM</w:t>
      </w:r>
      <w:r>
        <w:rPr>
          <w:vertAlign w:val="subscript"/>
          <w:lang w:val="en-US"/>
        </w:rPr>
        <w:t xml:space="preserve"> </w:t>
      </w:r>
      <w:r>
        <w:t>- номинальное скольжение двигателя</w:t>
      </w:r>
      <w:r w:rsidR="00285DC7">
        <w:t>.</w:t>
      </w:r>
    </w:p>
    <w:p w14:paraId="67351A07" w14:textId="3171448B" w:rsidR="005F5C70" w:rsidRDefault="005F5C70" w:rsidP="005F5C70">
      <w:pPr>
        <w:pStyle w:val="a3"/>
        <w:numPr>
          <w:ilvl w:val="0"/>
          <w:numId w:val="2"/>
        </w:numPr>
        <w:jc w:val="both"/>
      </w:pPr>
      <w:r>
        <w:t>А</w:t>
      </w:r>
      <w:r w:rsidRPr="005F5C70">
        <w:t xml:space="preserve"> - </w:t>
      </w:r>
      <w:r>
        <w:t>отношение активных сопротивлений статора и ротора.</w:t>
      </w:r>
    </w:p>
    <w:p w14:paraId="7A35699E" w14:textId="7B345C80" w:rsidR="00042C02" w:rsidRPr="00285DC7" w:rsidRDefault="005F5C70" w:rsidP="005F5C70">
      <w:pPr>
        <w:jc w:val="both"/>
        <w:rPr>
          <w:b/>
          <w:bCs/>
        </w:rPr>
      </w:pPr>
      <w:r w:rsidRPr="00285DC7">
        <w:rPr>
          <w:b/>
          <w:bCs/>
        </w:rPr>
        <w:t>При частотном управлении, осуществляемом при постоянстве абсолютного скольжения, КПД определяется по выражению:</w:t>
      </w:r>
    </w:p>
    <w:p w14:paraId="214BBEB2" w14:textId="71D4B684" w:rsidR="00042C02" w:rsidRDefault="005F5C70" w:rsidP="005F5C70">
      <w:pPr>
        <w:jc w:val="center"/>
      </w:pPr>
      <w:r>
        <w:rPr>
          <w:noProof/>
        </w:rPr>
        <w:drawing>
          <wp:inline distT="0" distB="0" distL="0" distR="0" wp14:anchorId="3C9AEFDA" wp14:editId="3691892A">
            <wp:extent cx="3019425" cy="9990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88" cy="100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5E5C1" w14:textId="43ABFC93" w:rsidR="005F5C70" w:rsidRPr="005F5C70" w:rsidRDefault="005F5C70" w:rsidP="005F5C70">
      <w:pPr>
        <w:jc w:val="both"/>
        <w:rPr>
          <w:b/>
          <w:bCs/>
        </w:rPr>
      </w:pPr>
      <w:r w:rsidRPr="005F5C70">
        <w:rPr>
          <w:b/>
          <w:bCs/>
        </w:rPr>
        <w:t>где</w:t>
      </w:r>
    </w:p>
    <w:p w14:paraId="676B6468" w14:textId="6152815C" w:rsidR="005F5C70" w:rsidRDefault="005F5C70" w:rsidP="005F5C70">
      <w:pPr>
        <w:pStyle w:val="a3"/>
        <w:numPr>
          <w:ilvl w:val="0"/>
          <w:numId w:val="3"/>
        </w:numPr>
        <w:jc w:val="both"/>
      </w:pPr>
      <w:proofErr w:type="spellStart"/>
      <w:r>
        <w:rPr>
          <w:rFonts w:cstheme="minorHAnsi"/>
        </w:rPr>
        <w:t>ω</w:t>
      </w:r>
      <w:r w:rsidRPr="005F5C70">
        <w:rPr>
          <w:vertAlign w:val="subscript"/>
        </w:rPr>
        <w:t>НОМ</w:t>
      </w:r>
      <w:proofErr w:type="spellEnd"/>
      <w:r>
        <w:t xml:space="preserve"> - номинальная скорость вращения двигателя</w:t>
      </w:r>
      <w:r w:rsidR="00285DC7">
        <w:t>.</w:t>
      </w:r>
    </w:p>
    <w:p w14:paraId="75F9767D" w14:textId="71FB12CB" w:rsidR="005F5C70" w:rsidRDefault="005F5C70" w:rsidP="005F5C70">
      <w:pPr>
        <w:pStyle w:val="a3"/>
        <w:numPr>
          <w:ilvl w:val="0"/>
          <w:numId w:val="3"/>
        </w:numPr>
        <w:jc w:val="both"/>
      </w:pPr>
      <w:r>
        <w:t xml:space="preserve"> </w:t>
      </w:r>
      <w:proofErr w:type="gramStart"/>
      <w:r>
        <w:rPr>
          <w:rFonts w:cstheme="minorHAnsi"/>
        </w:rPr>
        <w:t>ω</w:t>
      </w:r>
      <w:r>
        <w:t xml:space="preserve">  -</w:t>
      </w:r>
      <w:proofErr w:type="gramEnd"/>
      <w:r>
        <w:t xml:space="preserve"> текущая скорость вращения двигателя.</w:t>
      </w:r>
    </w:p>
    <w:p w14:paraId="0969AFBA" w14:textId="274D128C" w:rsidR="00CB07D4" w:rsidRDefault="00CB07D4" w:rsidP="00CB07D4">
      <w:pPr>
        <w:pStyle w:val="3"/>
        <w:spacing w:before="120" w:after="120"/>
        <w:jc w:val="center"/>
      </w:pPr>
      <w:r>
        <w:t xml:space="preserve">Сопоставление </w:t>
      </w:r>
      <w:r w:rsidRPr="00CB07D4">
        <w:t>частотно</w:t>
      </w:r>
      <w:r>
        <w:t xml:space="preserve">го и </w:t>
      </w:r>
      <w:r w:rsidRPr="00CB07D4">
        <w:t>дроссел</w:t>
      </w:r>
      <w:r>
        <w:t xml:space="preserve">ьного способов регулирования </w:t>
      </w:r>
      <w:r w:rsidRPr="00CB07D4">
        <w:t>электропривода</w:t>
      </w:r>
    </w:p>
    <w:p w14:paraId="26019ADA" w14:textId="308214EE" w:rsidR="00042C02" w:rsidRDefault="005F5C70" w:rsidP="005F5C70">
      <w:pPr>
        <w:jc w:val="both"/>
      </w:pPr>
      <w:r>
        <w:t xml:space="preserve">При вентиляторном моменте статической нагрузки относительные значения </w:t>
      </w:r>
      <w:r w:rsidRPr="00285DC7">
        <w:rPr>
          <w:b/>
          <w:bCs/>
        </w:rPr>
        <w:t>расхода, напора,</w:t>
      </w:r>
      <w:r w:rsidR="000C5C3E" w:rsidRPr="00285DC7">
        <w:rPr>
          <w:b/>
          <w:bCs/>
        </w:rPr>
        <w:t xml:space="preserve"> момента и мощности на валу двигателя</w:t>
      </w:r>
      <w:r w:rsidR="000C5C3E" w:rsidRPr="000C5C3E">
        <w:t xml:space="preserve"> (при использовании в качестве базовых единиц их номинальных значений) могут быть выражены в функции угловой скорости следующими выражениями, которые иногда называют законами подобия</w:t>
      </w:r>
      <w:r w:rsidR="00285DC7">
        <w:t>.</w:t>
      </w:r>
    </w:p>
    <w:p w14:paraId="61E817E7" w14:textId="038D481D" w:rsidR="00285DC7" w:rsidRPr="00285DC7" w:rsidRDefault="00285DC7" w:rsidP="005F5C70">
      <w:pPr>
        <w:jc w:val="both"/>
        <w:rPr>
          <w:b/>
          <w:bCs/>
        </w:rPr>
      </w:pPr>
      <w:r w:rsidRPr="00285DC7">
        <w:rPr>
          <w:b/>
          <w:bCs/>
        </w:rPr>
        <w:t>Выразим в следующей группе уравнений:</w:t>
      </w:r>
    </w:p>
    <w:p w14:paraId="5E2C9B1E" w14:textId="58C24F94" w:rsidR="000C5C3E" w:rsidRDefault="000C5C3E" w:rsidP="000C5C3E">
      <w:pPr>
        <w:jc w:val="center"/>
      </w:pPr>
      <w:r>
        <w:rPr>
          <w:noProof/>
        </w:rPr>
        <w:drawing>
          <wp:inline distT="0" distB="0" distL="0" distR="0" wp14:anchorId="41046419" wp14:editId="3A6869A2">
            <wp:extent cx="2743200" cy="140022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10" cy="140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9194" w14:textId="132A7FEF" w:rsidR="000C5C3E" w:rsidRPr="000C5C3E" w:rsidRDefault="000C5C3E" w:rsidP="00042C02">
      <w:pPr>
        <w:jc w:val="both"/>
        <w:rPr>
          <w:b/>
          <w:bCs/>
        </w:rPr>
      </w:pPr>
      <w:r w:rsidRPr="000C5C3E">
        <w:rPr>
          <w:b/>
          <w:bCs/>
        </w:rPr>
        <w:t>где</w:t>
      </w:r>
    </w:p>
    <w:p w14:paraId="75BD2CE1" w14:textId="11F72717" w:rsidR="00285DC7" w:rsidRDefault="000C5C3E" w:rsidP="000C5C3E">
      <w:pPr>
        <w:pStyle w:val="a3"/>
        <w:numPr>
          <w:ilvl w:val="0"/>
          <w:numId w:val="4"/>
        </w:numPr>
        <w:jc w:val="both"/>
      </w:pPr>
      <w:proofErr w:type="spellStart"/>
      <w:r>
        <w:rPr>
          <w:rFonts w:cstheme="minorHAnsi"/>
        </w:rPr>
        <w:t>ω</w:t>
      </w:r>
      <w:r w:rsidRPr="000C5C3E">
        <w:rPr>
          <w:vertAlign w:val="subscript"/>
        </w:rPr>
        <w:t>НОМ</w:t>
      </w:r>
      <w:proofErr w:type="spellEnd"/>
      <w:r w:rsidRPr="000C5C3E">
        <w:t xml:space="preserve"> </w:t>
      </w:r>
      <w:r w:rsidR="00285DC7">
        <w:t>– номинальная скорость вращения.</w:t>
      </w:r>
    </w:p>
    <w:p w14:paraId="5AC6E5BE" w14:textId="2E265EA9" w:rsidR="00285DC7" w:rsidRDefault="000C5C3E" w:rsidP="000C5C3E">
      <w:pPr>
        <w:pStyle w:val="a3"/>
        <w:numPr>
          <w:ilvl w:val="0"/>
          <w:numId w:val="4"/>
        </w:numPr>
        <w:jc w:val="both"/>
      </w:pPr>
      <w:r w:rsidRPr="000C5C3E">
        <w:t>М</w:t>
      </w:r>
      <w:r w:rsidRPr="000C5C3E">
        <w:rPr>
          <w:vertAlign w:val="subscript"/>
        </w:rPr>
        <w:t>НОМ</w:t>
      </w:r>
      <w:r w:rsidRPr="000C5C3E">
        <w:t xml:space="preserve"> </w:t>
      </w:r>
      <w:r w:rsidR="00285DC7">
        <w:t xml:space="preserve">– номинальный </w:t>
      </w:r>
      <w:r w:rsidR="00CB07D4">
        <w:t>момент</w:t>
      </w:r>
      <w:r w:rsidR="00285DC7">
        <w:t>.</w:t>
      </w:r>
    </w:p>
    <w:p w14:paraId="5D101471" w14:textId="0C8A4B94" w:rsidR="000C5C3E" w:rsidRDefault="000C5C3E" w:rsidP="000C5C3E">
      <w:pPr>
        <w:pStyle w:val="a3"/>
        <w:numPr>
          <w:ilvl w:val="0"/>
          <w:numId w:val="4"/>
        </w:numPr>
        <w:jc w:val="both"/>
      </w:pPr>
      <w:r w:rsidRPr="000C5C3E">
        <w:t>Р</w:t>
      </w:r>
      <w:r w:rsidRPr="000C5C3E">
        <w:rPr>
          <w:vertAlign w:val="subscript"/>
        </w:rPr>
        <w:t>НОМ</w:t>
      </w:r>
      <w:r w:rsidRPr="000C5C3E">
        <w:t xml:space="preserve"> </w:t>
      </w:r>
      <w:r w:rsidR="00285DC7">
        <w:t>–</w:t>
      </w:r>
      <w:r>
        <w:t xml:space="preserve"> </w:t>
      </w:r>
      <w:r w:rsidRPr="000C5C3E">
        <w:t>номинальн</w:t>
      </w:r>
      <w:r w:rsidR="00285DC7">
        <w:t xml:space="preserve">ая мощность электродвигателя. </w:t>
      </w:r>
      <w:r w:rsidRPr="000C5C3E">
        <w:t xml:space="preserve"> </w:t>
      </w:r>
    </w:p>
    <w:p w14:paraId="0B9034DB" w14:textId="19573291" w:rsidR="00CB07D4" w:rsidRDefault="000C5C3E" w:rsidP="000C5C3E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H</w:t>
      </w:r>
      <w:r w:rsidRPr="000C5C3E">
        <w:rPr>
          <w:vertAlign w:val="subscript"/>
        </w:rPr>
        <w:t>НОМ</w:t>
      </w:r>
      <w:r w:rsidRPr="000C5C3E">
        <w:t xml:space="preserve"> </w:t>
      </w:r>
      <w:r w:rsidR="00CB07D4">
        <w:t>– номинальный напор.</w:t>
      </w:r>
    </w:p>
    <w:p w14:paraId="2F1ECFF3" w14:textId="5864409B" w:rsidR="000C5C3E" w:rsidRDefault="000C5C3E" w:rsidP="000C5C3E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Q</w:t>
      </w:r>
      <w:r w:rsidRPr="000C5C3E">
        <w:rPr>
          <w:vertAlign w:val="subscript"/>
        </w:rPr>
        <w:t>НОМ</w:t>
      </w:r>
      <w:r w:rsidRPr="000C5C3E">
        <w:t xml:space="preserve"> </w:t>
      </w:r>
      <w:r>
        <w:t xml:space="preserve">- </w:t>
      </w:r>
      <w:r w:rsidRPr="000C5C3E">
        <w:t>номинальный расход</w:t>
      </w:r>
      <w:r w:rsidR="00E46F4D">
        <w:t>.</w:t>
      </w:r>
    </w:p>
    <w:p w14:paraId="239D9BBE" w14:textId="49953111" w:rsidR="00042C02" w:rsidRPr="00CB07D4" w:rsidRDefault="000C5C3E" w:rsidP="000C5C3E">
      <w:pPr>
        <w:jc w:val="both"/>
        <w:rPr>
          <w:b/>
          <w:bCs/>
        </w:rPr>
      </w:pPr>
      <w:r w:rsidRPr="00CB07D4">
        <w:rPr>
          <w:b/>
          <w:bCs/>
        </w:rPr>
        <w:t xml:space="preserve">Следовательно, мощность, потребляемую </w:t>
      </w:r>
      <w:r w:rsidR="00CB07D4" w:rsidRPr="00CB07D4">
        <w:rPr>
          <w:b/>
          <w:bCs/>
        </w:rPr>
        <w:t>электро</w:t>
      </w:r>
      <w:r w:rsidRPr="00CB07D4">
        <w:rPr>
          <w:b/>
          <w:bCs/>
        </w:rPr>
        <w:t>двигателем</w:t>
      </w:r>
      <w:r w:rsidR="00E46F4D">
        <w:rPr>
          <w:b/>
          <w:bCs/>
        </w:rPr>
        <w:t>,</w:t>
      </w:r>
      <w:r w:rsidRPr="00CB07D4">
        <w:rPr>
          <w:b/>
          <w:bCs/>
        </w:rPr>
        <w:t xml:space="preserve"> можно оценить при регулировании с помощью дросселирования выражением</w:t>
      </w:r>
      <w:r w:rsidR="00CB07D4" w:rsidRPr="00CB07D4">
        <w:rPr>
          <w:b/>
          <w:bCs/>
        </w:rPr>
        <w:t>:</w:t>
      </w:r>
    </w:p>
    <w:p w14:paraId="10AD426E" w14:textId="7EBCF786" w:rsidR="00042C02" w:rsidRDefault="000C5C3E" w:rsidP="000C5C3E">
      <w:pPr>
        <w:jc w:val="center"/>
      </w:pPr>
      <w:r>
        <w:rPr>
          <w:noProof/>
        </w:rPr>
        <w:drawing>
          <wp:inline distT="0" distB="0" distL="0" distR="0" wp14:anchorId="3270BB34" wp14:editId="4301E4B6">
            <wp:extent cx="2371725" cy="64253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96" cy="6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0B43" w14:textId="7A09DDD4" w:rsidR="00042C02" w:rsidRPr="00CB07D4" w:rsidRDefault="00CB07D4" w:rsidP="00042C02">
      <w:pPr>
        <w:jc w:val="both"/>
        <w:rPr>
          <w:b/>
          <w:bCs/>
        </w:rPr>
      </w:pPr>
      <w:r w:rsidRPr="00CB07D4">
        <w:rPr>
          <w:b/>
          <w:bCs/>
        </w:rPr>
        <w:t>П</w:t>
      </w:r>
      <w:r w:rsidR="000C5C3E" w:rsidRPr="00CB07D4">
        <w:rPr>
          <w:b/>
          <w:bCs/>
        </w:rPr>
        <w:t xml:space="preserve">ри частотном регулировании </w:t>
      </w:r>
      <w:r w:rsidR="00E46F4D">
        <w:rPr>
          <w:b/>
          <w:bCs/>
        </w:rPr>
        <w:t xml:space="preserve">получаем </w:t>
      </w:r>
      <w:r w:rsidR="000C5C3E" w:rsidRPr="00CB07D4">
        <w:rPr>
          <w:b/>
          <w:bCs/>
        </w:rPr>
        <w:t>выражение:</w:t>
      </w:r>
    </w:p>
    <w:p w14:paraId="67B2B822" w14:textId="25E64D1B" w:rsidR="00042C02" w:rsidRDefault="000C5C3E" w:rsidP="000C5C3E">
      <w:pPr>
        <w:jc w:val="center"/>
      </w:pPr>
      <w:r>
        <w:rPr>
          <w:noProof/>
        </w:rPr>
        <w:drawing>
          <wp:inline distT="0" distB="0" distL="0" distR="0" wp14:anchorId="0F28C2A1" wp14:editId="0F1BEBC5">
            <wp:extent cx="1181100" cy="47652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20" cy="4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C82B" w14:textId="76E8A5DA" w:rsidR="000C5C3E" w:rsidRPr="00CB07D4" w:rsidRDefault="000C5C3E" w:rsidP="00042C02">
      <w:pPr>
        <w:jc w:val="both"/>
        <w:rPr>
          <w:b/>
          <w:bCs/>
        </w:rPr>
      </w:pPr>
      <w:r w:rsidRPr="00CB07D4">
        <w:rPr>
          <w:b/>
          <w:bCs/>
        </w:rPr>
        <w:t>Зависимости потребляемой мощности, построенные по вышеприведенным формулам, представлены на рис</w:t>
      </w:r>
      <w:r w:rsidR="00CB07D4" w:rsidRPr="00CB07D4">
        <w:rPr>
          <w:b/>
          <w:bCs/>
        </w:rPr>
        <w:t>унке</w:t>
      </w:r>
      <w:r w:rsidRPr="00CB07D4">
        <w:rPr>
          <w:b/>
          <w:bCs/>
        </w:rPr>
        <w:t xml:space="preserve"> 3</w:t>
      </w:r>
      <w:r w:rsidR="00CB07D4" w:rsidRPr="00CB07D4">
        <w:rPr>
          <w:b/>
          <w:bCs/>
        </w:rPr>
        <w:t>:</w:t>
      </w:r>
    </w:p>
    <w:p w14:paraId="20C123AE" w14:textId="6FE8A07B" w:rsidR="000C5C3E" w:rsidRDefault="000C5C3E" w:rsidP="000C5C3E">
      <w:pPr>
        <w:jc w:val="center"/>
      </w:pPr>
      <w:r>
        <w:rPr>
          <w:noProof/>
        </w:rPr>
        <w:lastRenderedPageBreak/>
        <w:drawing>
          <wp:inline distT="0" distB="0" distL="0" distR="0" wp14:anchorId="290694F2" wp14:editId="291F649D">
            <wp:extent cx="3924300" cy="321136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32" cy="321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8926" w14:textId="77777777" w:rsidR="00CB07D4" w:rsidRDefault="000C5C3E" w:rsidP="000C5C3E">
      <w:pPr>
        <w:jc w:val="center"/>
      </w:pPr>
      <w:r w:rsidRPr="000C5C3E">
        <w:t>Рис</w:t>
      </w:r>
      <w:r w:rsidR="00CB07D4">
        <w:t>унок</w:t>
      </w:r>
      <w:r w:rsidRPr="000C5C3E">
        <w:t xml:space="preserve"> 3 </w:t>
      </w:r>
      <w:r>
        <w:t>–</w:t>
      </w:r>
      <w:r w:rsidRPr="000C5C3E">
        <w:t xml:space="preserve"> Зависимости изменения мощности</w:t>
      </w:r>
      <w:r>
        <w:t>,</w:t>
      </w:r>
      <w:r w:rsidRPr="000C5C3E">
        <w:t xml:space="preserve"> потребляемой из сети электроприводом тягодутьевой машины</w:t>
      </w:r>
    </w:p>
    <w:p w14:paraId="6A0FAD8A" w14:textId="77777777" w:rsidR="00CB07D4" w:rsidRPr="00CB07D4" w:rsidRDefault="00CB07D4" w:rsidP="00CB07D4">
      <w:pPr>
        <w:rPr>
          <w:b/>
          <w:bCs/>
        </w:rPr>
      </w:pPr>
      <w:r w:rsidRPr="00CB07D4">
        <w:rPr>
          <w:b/>
          <w:bCs/>
        </w:rPr>
        <w:t>где</w:t>
      </w:r>
    </w:p>
    <w:p w14:paraId="135FF040" w14:textId="30DE8EDB" w:rsidR="00CB07D4" w:rsidRDefault="00CB07D4" w:rsidP="00CB07D4">
      <w:pPr>
        <w:pStyle w:val="a3"/>
        <w:numPr>
          <w:ilvl w:val="0"/>
          <w:numId w:val="10"/>
        </w:numPr>
      </w:pPr>
      <w:r>
        <w:t>1 -</w:t>
      </w:r>
      <w:r w:rsidR="000C5C3E" w:rsidRPr="000C5C3E">
        <w:t xml:space="preserve"> при дроссельном</w:t>
      </w:r>
      <w:r>
        <w:t>.</w:t>
      </w:r>
    </w:p>
    <w:p w14:paraId="4A61758F" w14:textId="59EEC571" w:rsidR="000C5C3E" w:rsidRDefault="00CB07D4" w:rsidP="00CB07D4">
      <w:pPr>
        <w:pStyle w:val="a3"/>
        <w:numPr>
          <w:ilvl w:val="0"/>
          <w:numId w:val="10"/>
        </w:numPr>
      </w:pPr>
      <w:r>
        <w:t>2 - при</w:t>
      </w:r>
      <w:r w:rsidR="000C5C3E" w:rsidRPr="000C5C3E">
        <w:t xml:space="preserve"> частотном регулировании</w:t>
      </w:r>
      <w:r>
        <w:t>.</w:t>
      </w:r>
    </w:p>
    <w:p w14:paraId="304E8A36" w14:textId="77777777" w:rsidR="00CB07D4" w:rsidRDefault="000C5C3E" w:rsidP="00042C02">
      <w:pPr>
        <w:jc w:val="both"/>
      </w:pPr>
      <w:r w:rsidRPr="000C5C3E">
        <w:t xml:space="preserve">На </w:t>
      </w:r>
      <w:r w:rsidR="00CB07D4">
        <w:t>графике</w:t>
      </w:r>
      <w:r w:rsidRPr="000C5C3E">
        <w:t xml:space="preserve"> видно, что потребляемая мощность в случае частотно-регулируемого электропривода значительно ниже, чем при регулировании с помощью дросселирования. </w:t>
      </w:r>
    </w:p>
    <w:p w14:paraId="7BF6CA29" w14:textId="77777777" w:rsidR="00CB07D4" w:rsidRDefault="000C5C3E" w:rsidP="00042C02">
      <w:pPr>
        <w:jc w:val="both"/>
      </w:pPr>
      <w:r w:rsidRPr="000C5C3E">
        <w:t>Пунктирной линией показаны графики мощности с учетом КПД тягодутьевой машины</w:t>
      </w:r>
      <w:r w:rsidR="00CB07D4">
        <w:t>.</w:t>
      </w:r>
      <w:r w:rsidRPr="000C5C3E">
        <w:t xml:space="preserve"> </w:t>
      </w:r>
    </w:p>
    <w:p w14:paraId="4022864D" w14:textId="45B67D35" w:rsidR="00042C02" w:rsidRDefault="000C5C3E" w:rsidP="00042C02">
      <w:pPr>
        <w:jc w:val="both"/>
      </w:pPr>
      <w:r w:rsidRPr="000C5C3E">
        <w:t>Задаваясь графиком нагрузки котла (паропроизводительностью) во временном периоде Т, можно определить снижение расхода электроэнергии на тягу и дутье и, тем самым, определить эффект от внедрения частотно-регулируемого электропривода [3]</w:t>
      </w:r>
      <w:r w:rsidR="00CB07D4">
        <w:t>.</w:t>
      </w:r>
    </w:p>
    <w:p w14:paraId="04EE2CE7" w14:textId="67B65830" w:rsidR="00CB07D4" w:rsidRPr="00CB07D4" w:rsidRDefault="00CB07D4" w:rsidP="00042C02">
      <w:pPr>
        <w:jc w:val="both"/>
        <w:rPr>
          <w:b/>
          <w:bCs/>
        </w:rPr>
      </w:pPr>
      <w:r w:rsidRPr="00CB07D4">
        <w:rPr>
          <w:b/>
          <w:bCs/>
        </w:rPr>
        <w:t>Соответственно получаем итоговое выражение по расходу электроэнергии:</w:t>
      </w:r>
    </w:p>
    <w:p w14:paraId="2DB170A0" w14:textId="10AAAAA1" w:rsidR="000C5C3E" w:rsidRDefault="000C5C3E" w:rsidP="000C5C3E">
      <w:pPr>
        <w:jc w:val="center"/>
      </w:pPr>
      <w:r>
        <w:rPr>
          <w:noProof/>
        </w:rPr>
        <w:drawing>
          <wp:inline distT="0" distB="0" distL="0" distR="0" wp14:anchorId="19730769" wp14:editId="02AD6E6A">
            <wp:extent cx="2038350" cy="368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58" cy="3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CE4E" w14:textId="79F04BDE" w:rsidR="000C5C3E" w:rsidRPr="00CB07D4" w:rsidRDefault="000C5C3E" w:rsidP="000C5C3E">
      <w:pPr>
        <w:jc w:val="both"/>
        <w:rPr>
          <w:b/>
          <w:bCs/>
        </w:rPr>
      </w:pPr>
      <w:r w:rsidRPr="00CB07D4">
        <w:rPr>
          <w:b/>
          <w:bCs/>
        </w:rPr>
        <w:t>где</w:t>
      </w:r>
    </w:p>
    <w:p w14:paraId="18E03E89" w14:textId="59621DE0" w:rsidR="000C5C3E" w:rsidRDefault="000C5C3E" w:rsidP="000C5C3E">
      <w:pPr>
        <w:pStyle w:val="a3"/>
        <w:numPr>
          <w:ilvl w:val="0"/>
          <w:numId w:val="5"/>
        </w:numPr>
        <w:jc w:val="both"/>
      </w:pPr>
      <w:r>
        <w:t>W - расход электроэнергии</w:t>
      </w:r>
      <w:r w:rsidR="00CB07D4">
        <w:t>.</w:t>
      </w:r>
    </w:p>
    <w:p w14:paraId="212B5BE6" w14:textId="2420FE8E" w:rsidR="000C5C3E" w:rsidRDefault="000C5C3E" w:rsidP="000C5C3E">
      <w:pPr>
        <w:pStyle w:val="a3"/>
        <w:numPr>
          <w:ilvl w:val="0"/>
          <w:numId w:val="5"/>
        </w:numPr>
        <w:jc w:val="both"/>
      </w:pPr>
      <w:r>
        <w:t>Р</w:t>
      </w:r>
      <w:r w:rsidRPr="000C5C3E">
        <w:rPr>
          <w:vertAlign w:val="subscript"/>
        </w:rPr>
        <w:t>1</w:t>
      </w:r>
      <w:r>
        <w:t xml:space="preserve"> - мощность, потребляемая тягодутьевыми машинами при регулировании дросселированием</w:t>
      </w:r>
      <w:r w:rsidR="00CB07D4">
        <w:t>.</w:t>
      </w:r>
    </w:p>
    <w:p w14:paraId="7214F00D" w14:textId="20D261CF" w:rsidR="000C5C3E" w:rsidRDefault="000C5C3E" w:rsidP="000C5C3E">
      <w:pPr>
        <w:pStyle w:val="a3"/>
        <w:numPr>
          <w:ilvl w:val="0"/>
          <w:numId w:val="5"/>
        </w:numPr>
        <w:jc w:val="both"/>
      </w:pPr>
      <w:r>
        <w:t>Р</w:t>
      </w:r>
      <w:r w:rsidRPr="000C5C3E">
        <w:rPr>
          <w:vertAlign w:val="subscript"/>
        </w:rPr>
        <w:t>2</w:t>
      </w:r>
      <w:r>
        <w:t xml:space="preserve"> - мощность, потребляемая тягодутьевыми машинами при частотном регулировании</w:t>
      </w:r>
      <w:r w:rsidR="00CB07D4">
        <w:t>.</w:t>
      </w:r>
    </w:p>
    <w:p w14:paraId="1DE6A0BD" w14:textId="41CD0A67" w:rsidR="000C5C3E" w:rsidRDefault="000C5C3E" w:rsidP="000C5C3E">
      <w:pPr>
        <w:pStyle w:val="a3"/>
        <w:numPr>
          <w:ilvl w:val="0"/>
          <w:numId w:val="5"/>
        </w:numPr>
        <w:jc w:val="both"/>
      </w:pPr>
      <w:r>
        <w:t>Т- интервал времени.</w:t>
      </w:r>
    </w:p>
    <w:p w14:paraId="440FCCF1" w14:textId="0763A2D7" w:rsidR="000C5C3E" w:rsidRPr="00917EB7" w:rsidRDefault="00917EB7" w:rsidP="000C5C3E">
      <w:pPr>
        <w:jc w:val="both"/>
        <w:rPr>
          <w:b/>
          <w:bCs/>
        </w:rPr>
      </w:pPr>
      <w:r w:rsidRPr="00917EB7">
        <w:rPr>
          <w:b/>
          <w:bCs/>
        </w:rPr>
        <w:t>П</w:t>
      </w:r>
      <w:r w:rsidR="000C5C3E" w:rsidRPr="00917EB7">
        <w:rPr>
          <w:b/>
          <w:bCs/>
        </w:rPr>
        <w:t>риведенн</w:t>
      </w:r>
      <w:r w:rsidRPr="00917EB7">
        <w:rPr>
          <w:b/>
          <w:bCs/>
        </w:rPr>
        <w:t>ая</w:t>
      </w:r>
      <w:r w:rsidR="000C5C3E" w:rsidRPr="00917EB7">
        <w:rPr>
          <w:b/>
          <w:bCs/>
        </w:rPr>
        <w:t xml:space="preserve"> фактической паропроизводительност</w:t>
      </w:r>
      <w:r w:rsidRPr="00917EB7">
        <w:rPr>
          <w:b/>
          <w:bCs/>
        </w:rPr>
        <w:t>ь</w:t>
      </w:r>
      <w:r w:rsidR="000C5C3E" w:rsidRPr="00917EB7">
        <w:rPr>
          <w:b/>
          <w:bCs/>
        </w:rPr>
        <w:t xml:space="preserve"> </w:t>
      </w:r>
      <w:r w:rsidRPr="00917EB7">
        <w:rPr>
          <w:b/>
          <w:bCs/>
        </w:rPr>
        <w:t xml:space="preserve">котла </w:t>
      </w:r>
      <w:r w:rsidR="000C5C3E" w:rsidRPr="00917EB7">
        <w:rPr>
          <w:b/>
          <w:bCs/>
        </w:rPr>
        <w:t>за период</w:t>
      </w:r>
      <w:r w:rsidRPr="00917EB7">
        <w:rPr>
          <w:b/>
          <w:bCs/>
        </w:rPr>
        <w:t xml:space="preserve"> представлена на рисунке 4:</w:t>
      </w:r>
    </w:p>
    <w:p w14:paraId="3BC976D9" w14:textId="6C27B870" w:rsidR="000C5C3E" w:rsidRDefault="000C5C3E" w:rsidP="000C5C3E">
      <w:pPr>
        <w:jc w:val="center"/>
      </w:pPr>
      <w:r>
        <w:rPr>
          <w:noProof/>
        </w:rPr>
        <w:lastRenderedPageBreak/>
        <w:drawing>
          <wp:inline distT="0" distB="0" distL="0" distR="0" wp14:anchorId="72BF5A50" wp14:editId="4956FE75">
            <wp:extent cx="4019550" cy="2051712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69" cy="205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B86E4" w14:textId="18A99814" w:rsidR="000C5C3E" w:rsidRDefault="000C5C3E" w:rsidP="000C5C3E">
      <w:pPr>
        <w:jc w:val="center"/>
      </w:pPr>
      <w:r w:rsidRPr="000C5C3E">
        <w:t>Рис</w:t>
      </w:r>
      <w:r w:rsidR="00917EB7">
        <w:t>унок</w:t>
      </w:r>
      <w:r w:rsidRPr="000C5C3E">
        <w:t xml:space="preserve"> 4</w:t>
      </w:r>
      <w:r>
        <w:t xml:space="preserve"> –</w:t>
      </w:r>
      <w:r w:rsidRPr="000C5C3E">
        <w:t xml:space="preserve"> Паропроизводительность котла ТП-87 в 2009 году</w:t>
      </w:r>
    </w:p>
    <w:p w14:paraId="1D7DEE15" w14:textId="77777777" w:rsidR="00917EB7" w:rsidRPr="00917EB7" w:rsidRDefault="00917EB7" w:rsidP="00917EB7">
      <w:pPr>
        <w:jc w:val="both"/>
        <w:rPr>
          <w:b/>
          <w:bCs/>
        </w:rPr>
      </w:pPr>
      <w:r w:rsidRPr="00917EB7">
        <w:rPr>
          <w:b/>
          <w:bCs/>
        </w:rPr>
        <w:t>На рисунке 5 представлен расход электроэнергии тягодутьевыми машинами для одного котла за 1 год при различных способах регулирования:</w:t>
      </w:r>
    </w:p>
    <w:p w14:paraId="5083846D" w14:textId="0936ACE6" w:rsidR="000C5C3E" w:rsidRDefault="000966A6" w:rsidP="000C5C3E">
      <w:pPr>
        <w:jc w:val="center"/>
      </w:pPr>
      <w:r>
        <w:rPr>
          <w:noProof/>
        </w:rPr>
        <w:drawing>
          <wp:inline distT="0" distB="0" distL="0" distR="0" wp14:anchorId="2DE805A6" wp14:editId="60F3B3F1">
            <wp:extent cx="4219575" cy="230959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84" cy="23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BA97" w14:textId="4427B576" w:rsidR="000966A6" w:rsidRDefault="000966A6" w:rsidP="000C5C3E">
      <w:pPr>
        <w:jc w:val="center"/>
      </w:pPr>
      <w:r w:rsidRPr="000966A6">
        <w:t>Рис</w:t>
      </w:r>
      <w:r w:rsidR="00917EB7">
        <w:t>унок</w:t>
      </w:r>
      <w:r w:rsidRPr="000966A6">
        <w:t xml:space="preserve"> 5</w:t>
      </w:r>
      <w:r>
        <w:t xml:space="preserve"> –</w:t>
      </w:r>
      <w:r w:rsidRPr="000966A6">
        <w:t xml:space="preserve"> Расход электроэнергии тягодутье</w:t>
      </w:r>
      <w:r>
        <w:t>в</w:t>
      </w:r>
      <w:r w:rsidRPr="000966A6">
        <w:t>ыми машинами при различных способах</w:t>
      </w:r>
    </w:p>
    <w:p w14:paraId="426D20D4" w14:textId="77777777" w:rsidR="00917EB7" w:rsidRPr="00917EB7" w:rsidRDefault="000966A6" w:rsidP="000966A6">
      <w:pPr>
        <w:jc w:val="both"/>
        <w:rPr>
          <w:b/>
          <w:bCs/>
        </w:rPr>
      </w:pPr>
      <w:r w:rsidRPr="00917EB7">
        <w:rPr>
          <w:b/>
          <w:bCs/>
        </w:rPr>
        <w:t>Таким образом, применение частотно-регулируемых электроприводов позволит</w:t>
      </w:r>
      <w:r w:rsidR="00917EB7" w:rsidRPr="00917EB7">
        <w:rPr>
          <w:b/>
          <w:bCs/>
        </w:rPr>
        <w:t>:</w:t>
      </w:r>
    </w:p>
    <w:p w14:paraId="4F333993" w14:textId="77777777" w:rsidR="00917EB7" w:rsidRDefault="00917EB7" w:rsidP="00813EB5">
      <w:pPr>
        <w:pStyle w:val="a3"/>
        <w:numPr>
          <w:ilvl w:val="0"/>
          <w:numId w:val="11"/>
        </w:numPr>
        <w:jc w:val="both"/>
      </w:pPr>
      <w:r>
        <w:t>С</w:t>
      </w:r>
      <w:r w:rsidR="000966A6">
        <w:t>низить на 20-30% потребления электрической энергии асинхронными двигателями тягодутьевых машин</w:t>
      </w:r>
      <w:r>
        <w:t>.</w:t>
      </w:r>
    </w:p>
    <w:p w14:paraId="2701956E" w14:textId="77777777" w:rsidR="00813EB5" w:rsidRDefault="00813EB5" w:rsidP="00813EB5">
      <w:pPr>
        <w:pStyle w:val="a3"/>
        <w:numPr>
          <w:ilvl w:val="0"/>
          <w:numId w:val="11"/>
        </w:numPr>
        <w:jc w:val="both"/>
      </w:pPr>
      <w:r>
        <w:t>О</w:t>
      </w:r>
      <w:r w:rsidR="000966A6">
        <w:t xml:space="preserve">беспечить рациональный расход топлива при полном его сжигании (экономия угля до 5%). </w:t>
      </w:r>
    </w:p>
    <w:p w14:paraId="0E73166D" w14:textId="02CE6FD6" w:rsidR="000C5C3E" w:rsidRDefault="000966A6" w:rsidP="000966A6">
      <w:pPr>
        <w:jc w:val="both"/>
      </w:pPr>
      <w:r>
        <w:t xml:space="preserve">За рассчитанный период экономия от частотного регулирования составляет </w:t>
      </w:r>
      <w:r w:rsidRPr="00E46F4D">
        <w:rPr>
          <w:b/>
          <w:bCs/>
        </w:rPr>
        <w:t>27,5%</w:t>
      </w:r>
      <w:r w:rsidR="00813EB5" w:rsidRPr="00E46F4D">
        <w:rPr>
          <w:b/>
          <w:bCs/>
        </w:rPr>
        <w:t xml:space="preserve"> </w:t>
      </w:r>
      <w:r w:rsidRPr="00E46F4D">
        <w:rPr>
          <w:b/>
          <w:bCs/>
        </w:rPr>
        <w:t>или 25-10</w:t>
      </w:r>
      <w:r w:rsidRPr="00E46F4D">
        <w:rPr>
          <w:b/>
          <w:bCs/>
          <w:vertAlign w:val="superscript"/>
        </w:rPr>
        <w:t>5</w:t>
      </w:r>
      <w:r w:rsidRPr="00E46F4D">
        <w:rPr>
          <w:b/>
          <w:bCs/>
        </w:rPr>
        <w:t xml:space="preserve"> КВт*ч.</w:t>
      </w:r>
    </w:p>
    <w:p w14:paraId="643F588E" w14:textId="6134DA25" w:rsidR="000C5C3E" w:rsidRDefault="000966A6" w:rsidP="00813EB5">
      <w:pPr>
        <w:pStyle w:val="3"/>
        <w:spacing w:before="120" w:after="120"/>
        <w:jc w:val="center"/>
      </w:pPr>
      <w:r>
        <w:t>Список литературы</w:t>
      </w:r>
    </w:p>
    <w:p w14:paraId="2B1D8E34" w14:textId="6C729AA2" w:rsidR="000966A6" w:rsidRDefault="000966A6" w:rsidP="000966A6">
      <w:pPr>
        <w:pStyle w:val="a3"/>
        <w:numPr>
          <w:ilvl w:val="0"/>
          <w:numId w:val="6"/>
        </w:numPr>
        <w:jc w:val="both"/>
      </w:pPr>
      <w:r w:rsidRPr="000966A6">
        <w:t>Эффективность внедрения систем с частотно-регулируемыми приводами / М.В. Козлов,</w:t>
      </w:r>
      <w:r w:rsidR="00813EB5">
        <w:t xml:space="preserve"> </w:t>
      </w:r>
      <w:r w:rsidRPr="000966A6">
        <w:t>А.С. Чистяков/ / СТА 1/2001. - С. 76 - 82.</w:t>
      </w:r>
    </w:p>
    <w:p w14:paraId="58515736" w14:textId="03A333AA" w:rsidR="000966A6" w:rsidRDefault="000966A6" w:rsidP="000966A6">
      <w:pPr>
        <w:pStyle w:val="a3"/>
        <w:numPr>
          <w:ilvl w:val="0"/>
          <w:numId w:val="6"/>
        </w:numPr>
        <w:jc w:val="both"/>
      </w:pPr>
      <w:r w:rsidRPr="000966A6">
        <w:t>Браславский И</w:t>
      </w:r>
      <w:r w:rsidR="00813EB5">
        <w:t>.</w:t>
      </w:r>
      <w:r w:rsidRPr="000966A6">
        <w:t xml:space="preserve">Я. Энергосберегающий асинхронный электропривод. - </w:t>
      </w:r>
      <w:proofErr w:type="gramStart"/>
      <w:r w:rsidRPr="000966A6">
        <w:t>М. :</w:t>
      </w:r>
      <w:proofErr w:type="gramEnd"/>
      <w:r w:rsidRPr="000966A6">
        <w:t xml:space="preserve"> ACADEMA, 2004. - 202 с.</w:t>
      </w:r>
    </w:p>
    <w:p w14:paraId="2DFFC6D3" w14:textId="6A032277" w:rsidR="000C5C3E" w:rsidRDefault="000966A6" w:rsidP="000966A6">
      <w:pPr>
        <w:pStyle w:val="a3"/>
        <w:numPr>
          <w:ilvl w:val="0"/>
          <w:numId w:val="6"/>
        </w:numPr>
        <w:jc w:val="both"/>
      </w:pPr>
      <w:r w:rsidRPr="000966A6">
        <w:t>Об эффективности частотно-регулируемого электропривода тягодутьевых машин / А.В. Нестеровский, С.С. Переверзев // Материалы ХШ-ой научно-практической конференции «Природные и интеллектуальные ресурсы Сибири»: науч. тр. / ГУ КузГТУ. - Кемерово, 2010. — С. 71 - 74.</w:t>
      </w:r>
    </w:p>
    <w:p w14:paraId="78CABE39" w14:textId="41C2BE76" w:rsidR="00042C02" w:rsidRDefault="00042C02" w:rsidP="00042C02">
      <w:pPr>
        <w:jc w:val="both"/>
      </w:pPr>
      <w:r>
        <w:t xml:space="preserve">Источник: </w:t>
      </w:r>
      <w:r w:rsidRPr="00042C02">
        <w:t xml:space="preserve">Анализ и направления совершенствования систем электропривода котлоагрегатов в условиях </w:t>
      </w:r>
      <w:proofErr w:type="spellStart"/>
      <w:r w:rsidRPr="00042C02">
        <w:t>Новокемеровской</w:t>
      </w:r>
      <w:proofErr w:type="spellEnd"/>
      <w:r w:rsidRPr="00042C02">
        <w:t xml:space="preserve"> ТЭЦ / К.П. </w:t>
      </w:r>
      <w:proofErr w:type="spellStart"/>
      <w:r w:rsidRPr="00042C02">
        <w:t>Волыков</w:t>
      </w:r>
      <w:proofErr w:type="spellEnd"/>
      <w:r w:rsidRPr="00042C02">
        <w:t>, В.Г. Каширских, А.Е. Медведев // Вестник КузГТУ. - 2012. - №1. - C. 57-60.</w:t>
      </w:r>
    </w:p>
    <w:sectPr w:rsidR="00042C02" w:rsidSect="00B7264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399"/>
    <w:multiLevelType w:val="hybridMultilevel"/>
    <w:tmpl w:val="6D7C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099"/>
    <w:multiLevelType w:val="hybridMultilevel"/>
    <w:tmpl w:val="CCA4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412"/>
    <w:multiLevelType w:val="hybridMultilevel"/>
    <w:tmpl w:val="AFAE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618"/>
    <w:multiLevelType w:val="hybridMultilevel"/>
    <w:tmpl w:val="B69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3E51"/>
    <w:multiLevelType w:val="hybridMultilevel"/>
    <w:tmpl w:val="D02C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434A"/>
    <w:multiLevelType w:val="hybridMultilevel"/>
    <w:tmpl w:val="64BE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41C1"/>
    <w:multiLevelType w:val="hybridMultilevel"/>
    <w:tmpl w:val="A608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28B2"/>
    <w:multiLevelType w:val="hybridMultilevel"/>
    <w:tmpl w:val="C030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91821"/>
    <w:multiLevelType w:val="hybridMultilevel"/>
    <w:tmpl w:val="B3E2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0C03"/>
    <w:multiLevelType w:val="hybridMultilevel"/>
    <w:tmpl w:val="0A86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5CFA"/>
    <w:multiLevelType w:val="hybridMultilevel"/>
    <w:tmpl w:val="4898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02"/>
    <w:rsid w:val="00042C02"/>
    <w:rsid w:val="000966A6"/>
    <w:rsid w:val="000C5C3E"/>
    <w:rsid w:val="001153CE"/>
    <w:rsid w:val="00285DC7"/>
    <w:rsid w:val="005F5C70"/>
    <w:rsid w:val="00813EB5"/>
    <w:rsid w:val="00917EB7"/>
    <w:rsid w:val="00B7264A"/>
    <w:rsid w:val="00CB07D4"/>
    <w:rsid w:val="00E46F4D"/>
    <w:rsid w:val="00E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73F2"/>
  <w15:chartTrackingRefBased/>
  <w15:docId w15:val="{C4AD91EA-B33D-4B78-B853-E5AB69C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2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6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F5C7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96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96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0966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2021-10-25T12:29:00Z</dcterms:created>
  <dcterms:modified xsi:type="dcterms:W3CDTF">2021-10-25T12:29:00Z</dcterms:modified>
</cp:coreProperties>
</file>